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3E" w:rsidRPr="001F533E" w:rsidRDefault="005F3F83" w:rsidP="001F533E">
      <w:pPr>
        <w:pStyle w:val="NormalWeb"/>
        <w:shd w:val="clear" w:color="auto" w:fill="FFFFFF"/>
        <w:spacing w:before="0" w:beforeAutospacing="0" w:after="0" w:afterAutospacing="0" w:line="346" w:lineRule="atLeast"/>
        <w:ind w:firstLine="708"/>
        <w:jc w:val="center"/>
        <w:textAlignment w:val="baseline"/>
        <w:rPr>
          <w:rFonts w:ascii="Arial" w:hAnsi="Arial" w:cs="Arial"/>
          <w:b/>
          <w:color w:val="000000" w:themeColor="text1"/>
          <w:sz w:val="32"/>
          <w:szCs w:val="32"/>
        </w:rPr>
      </w:pPr>
      <w:r>
        <w:rPr>
          <w:rFonts w:ascii="Arial" w:hAnsi="Arial" w:cs="Arial"/>
          <w:b/>
          <w:color w:val="000000" w:themeColor="text1"/>
          <w:sz w:val="32"/>
          <w:szCs w:val="32"/>
        </w:rPr>
        <w:t>L’H</w:t>
      </w:r>
      <w:r w:rsidR="00D6106A" w:rsidRPr="001F533E">
        <w:rPr>
          <w:rFonts w:ascii="Arial" w:hAnsi="Arial" w:cs="Arial"/>
          <w:b/>
          <w:color w:val="000000" w:themeColor="text1"/>
          <w:sz w:val="32"/>
          <w:szCs w:val="32"/>
        </w:rPr>
        <w:t>umanisme</w:t>
      </w:r>
    </w:p>
    <w:p w:rsidR="001F533E" w:rsidRDefault="001F533E" w:rsidP="000F22AF">
      <w:pPr>
        <w:pStyle w:val="NormalWeb"/>
        <w:shd w:val="clear" w:color="auto" w:fill="FFFFFF"/>
        <w:spacing w:before="0" w:beforeAutospacing="0" w:after="0" w:afterAutospacing="0" w:line="346" w:lineRule="atLeast"/>
        <w:ind w:firstLine="708"/>
        <w:textAlignment w:val="baseline"/>
        <w:rPr>
          <w:rFonts w:ascii="Arial" w:hAnsi="Arial" w:cs="Arial"/>
          <w:color w:val="666666"/>
          <w:sz w:val="26"/>
          <w:szCs w:val="26"/>
        </w:rPr>
      </w:pPr>
    </w:p>
    <w:p w:rsidR="000F22AF" w:rsidRDefault="001F533E" w:rsidP="000F22AF">
      <w:pPr>
        <w:pStyle w:val="NormalWeb"/>
        <w:shd w:val="clear" w:color="auto" w:fill="FFFFFF"/>
        <w:spacing w:before="0" w:beforeAutospacing="0" w:after="0" w:afterAutospacing="0" w:line="346" w:lineRule="atLeast"/>
        <w:ind w:firstLine="708"/>
        <w:textAlignment w:val="baseline"/>
        <w:rPr>
          <w:rFonts w:ascii="Arial" w:hAnsi="Arial" w:cs="Arial"/>
          <w:color w:val="666666"/>
          <w:sz w:val="26"/>
          <w:szCs w:val="26"/>
        </w:rPr>
      </w:pPr>
      <w:r>
        <w:rPr>
          <w:rFonts w:ascii="Arial" w:hAnsi="Arial" w:cs="Arial"/>
          <w:color w:val="666666"/>
          <w:sz w:val="26"/>
          <w:szCs w:val="26"/>
        </w:rPr>
        <w:t>M</w:t>
      </w:r>
      <w:r w:rsidR="00D6106A">
        <w:rPr>
          <w:rFonts w:ascii="Arial" w:hAnsi="Arial" w:cs="Arial"/>
          <w:color w:val="666666"/>
          <w:sz w:val="26"/>
          <w:szCs w:val="26"/>
        </w:rPr>
        <w:t>ouvement d’idées qui culmina en Europe au XVI</w:t>
      </w:r>
      <w:r w:rsidR="00D6106A" w:rsidRPr="000F22AF">
        <w:rPr>
          <w:rFonts w:ascii="Arial" w:hAnsi="Arial" w:cs="Arial"/>
          <w:color w:val="666666"/>
          <w:sz w:val="26"/>
          <w:szCs w:val="26"/>
        </w:rPr>
        <w:t>e</w:t>
      </w:r>
      <w:r w:rsidR="00D6106A">
        <w:rPr>
          <w:rFonts w:ascii="Arial" w:hAnsi="Arial" w:cs="Arial"/>
          <w:color w:val="666666"/>
          <w:sz w:val="26"/>
          <w:szCs w:val="26"/>
        </w:rPr>
        <w:t> siècle, et position qui place au-dessus de toutes les valeurs la personne humaine et la dignité de l’individu.</w:t>
      </w:r>
      <w:r w:rsidR="00D6106A">
        <w:rPr>
          <w:rFonts w:ascii="Arial" w:hAnsi="Arial" w:cs="Arial"/>
          <w:color w:val="666666"/>
          <w:sz w:val="26"/>
          <w:szCs w:val="26"/>
        </w:rPr>
        <w:br/>
      </w:r>
    </w:p>
    <w:p w:rsidR="00D6106A" w:rsidRDefault="00D6106A" w:rsidP="000F22AF">
      <w:pPr>
        <w:pStyle w:val="NormalWeb"/>
        <w:shd w:val="clear" w:color="auto" w:fill="FFFFFF"/>
        <w:spacing w:before="0" w:beforeAutospacing="0" w:after="0" w:afterAutospacing="0" w:line="346" w:lineRule="atLeast"/>
        <w:ind w:firstLine="708"/>
        <w:textAlignment w:val="baseline"/>
        <w:rPr>
          <w:rFonts w:ascii="Arial" w:hAnsi="Arial" w:cs="Arial"/>
          <w:color w:val="666666"/>
          <w:sz w:val="26"/>
          <w:szCs w:val="26"/>
        </w:rPr>
      </w:pPr>
      <w:r>
        <w:rPr>
          <w:rFonts w:ascii="Arial" w:hAnsi="Arial" w:cs="Arial"/>
          <w:color w:val="666666"/>
          <w:sz w:val="26"/>
          <w:szCs w:val="26"/>
        </w:rPr>
        <w:t>L’humanisme en tant que mouvement visant à renouer avec certaines valeurs de l’Antiquité fait partie intégrante de </w:t>
      </w:r>
      <w:hyperlink r:id="rId5" w:tooltip="Histoire de la France : l’Ancien Régime" w:history="1">
        <w:r w:rsidRPr="000F22AF">
          <w:rPr>
            <w:rFonts w:ascii="Arial" w:hAnsi="Arial" w:cs="Arial"/>
            <w:color w:val="666666"/>
            <w:sz w:val="26"/>
            <w:szCs w:val="26"/>
          </w:rPr>
          <w:t>la Renaissance</w:t>
        </w:r>
      </w:hyperlink>
      <w:r>
        <w:rPr>
          <w:rFonts w:ascii="Arial" w:hAnsi="Arial" w:cs="Arial"/>
          <w:color w:val="666666"/>
          <w:sz w:val="26"/>
          <w:szCs w:val="26"/>
        </w:rPr>
        <w:t>. Il prit naissance au XIV</w:t>
      </w:r>
      <w:r w:rsidRPr="000F22AF">
        <w:rPr>
          <w:rFonts w:ascii="Arial" w:hAnsi="Arial" w:cs="Arial"/>
          <w:color w:val="666666"/>
          <w:sz w:val="26"/>
          <w:szCs w:val="26"/>
        </w:rPr>
        <w:t>e</w:t>
      </w:r>
      <w:r>
        <w:rPr>
          <w:rFonts w:ascii="Arial" w:hAnsi="Arial" w:cs="Arial"/>
          <w:color w:val="666666"/>
          <w:sz w:val="26"/>
          <w:szCs w:val="26"/>
        </w:rPr>
        <w:t> siècle en Italie, avec Pétrarque, Boccace, et prospéra au XV</w:t>
      </w:r>
      <w:r w:rsidRPr="000F22AF">
        <w:rPr>
          <w:rFonts w:ascii="Arial" w:hAnsi="Arial" w:cs="Arial"/>
          <w:color w:val="666666"/>
          <w:sz w:val="26"/>
          <w:szCs w:val="26"/>
        </w:rPr>
        <w:t>e</w:t>
      </w:r>
      <w:r>
        <w:rPr>
          <w:rFonts w:ascii="Arial" w:hAnsi="Arial" w:cs="Arial"/>
          <w:color w:val="666666"/>
          <w:sz w:val="26"/>
          <w:szCs w:val="26"/>
        </w:rPr>
        <w:t> siècle avec Marsile Ficin, mais il se développa partout en Europe, notamment en France, où il se nourrit en particulier de la pensée de l’école de Chartres.</w:t>
      </w:r>
    </w:p>
    <w:p w:rsidR="00D6106A" w:rsidRDefault="00D6106A" w:rsidP="00D6106A">
      <w:pPr>
        <w:pStyle w:val="NormalWeb"/>
        <w:shd w:val="clear" w:color="auto" w:fill="FFFFFF"/>
        <w:spacing w:before="0" w:beforeAutospacing="0" w:after="0" w:afterAutospacing="0" w:line="346" w:lineRule="atLeast"/>
        <w:textAlignment w:val="baseline"/>
        <w:rPr>
          <w:rFonts w:ascii="Arial" w:hAnsi="Arial" w:cs="Arial"/>
          <w:color w:val="666666"/>
          <w:sz w:val="26"/>
          <w:szCs w:val="26"/>
        </w:rPr>
      </w:pPr>
    </w:p>
    <w:p w:rsidR="00D6106A" w:rsidRDefault="00D6106A" w:rsidP="000F22AF">
      <w:pPr>
        <w:pStyle w:val="NormalWeb"/>
        <w:shd w:val="clear" w:color="auto" w:fill="FFFFFF"/>
        <w:spacing w:before="0" w:beforeAutospacing="0" w:after="0" w:afterAutospacing="0" w:line="346" w:lineRule="atLeast"/>
        <w:ind w:firstLine="708"/>
        <w:textAlignment w:val="baseline"/>
        <w:rPr>
          <w:rFonts w:ascii="Arial" w:hAnsi="Arial" w:cs="Arial"/>
          <w:color w:val="666666"/>
          <w:sz w:val="26"/>
          <w:szCs w:val="26"/>
        </w:rPr>
      </w:pPr>
      <w:r>
        <w:rPr>
          <w:rFonts w:ascii="Arial" w:hAnsi="Arial" w:cs="Arial"/>
          <w:color w:val="666666"/>
          <w:sz w:val="26"/>
          <w:szCs w:val="26"/>
        </w:rPr>
        <w:t>En France, Jacques Lefèvre d’Etaples reprit, sous l’influence de Reuchlin, l’enseignement de l’hébreu qu’il considéra comme élément de la culture humaniste. L’humanisme prit un nouvel essor avec la création par François I</w:t>
      </w:r>
      <w:r w:rsidRPr="000F22AF">
        <w:rPr>
          <w:rFonts w:ascii="Arial" w:hAnsi="Arial" w:cs="Arial"/>
          <w:color w:val="666666"/>
          <w:sz w:val="26"/>
          <w:szCs w:val="26"/>
        </w:rPr>
        <w:t>er</w:t>
      </w:r>
      <w:r>
        <w:rPr>
          <w:rFonts w:ascii="Arial" w:hAnsi="Arial" w:cs="Arial"/>
          <w:color w:val="666666"/>
          <w:sz w:val="26"/>
          <w:szCs w:val="26"/>
        </w:rPr>
        <w:t> du Collège des lecteurs royaux (futur Collège de France). La traduction des ouvrages d’auteurs anciens, mise en valeur par Etienne Dolet, permit la large diffusion d’un platonisme christianisé, fortement revendiqué par les humanistes français, qui marqua au milieu du XVI</w:t>
      </w:r>
      <w:r w:rsidRPr="000F22AF">
        <w:rPr>
          <w:rFonts w:ascii="Arial" w:hAnsi="Arial" w:cs="Arial"/>
          <w:color w:val="666666"/>
          <w:sz w:val="26"/>
          <w:szCs w:val="26"/>
        </w:rPr>
        <w:t>e</w:t>
      </w:r>
      <w:r>
        <w:rPr>
          <w:rFonts w:ascii="Arial" w:hAnsi="Arial" w:cs="Arial"/>
          <w:color w:val="666666"/>
          <w:sz w:val="26"/>
          <w:szCs w:val="26"/>
        </w:rPr>
        <w:t> siècle </w:t>
      </w:r>
      <w:r w:rsidRPr="000F22AF">
        <w:rPr>
          <w:rFonts w:ascii="Arial" w:hAnsi="Arial" w:cs="Arial"/>
          <w:color w:val="666666"/>
          <w:sz w:val="26"/>
          <w:szCs w:val="26"/>
        </w:rPr>
        <w:t>les poètes de </w:t>
      </w:r>
      <w:hyperlink r:id="rId6" w:tooltip="La Pléiade" w:history="1">
        <w:r w:rsidRPr="000F22AF">
          <w:rPr>
            <w:rFonts w:ascii="Arial" w:hAnsi="Arial" w:cs="Arial"/>
            <w:color w:val="666666"/>
            <w:sz w:val="26"/>
            <w:szCs w:val="26"/>
          </w:rPr>
          <w:t>la Pléiade</w:t>
        </w:r>
      </w:hyperlink>
      <w:r>
        <w:rPr>
          <w:rFonts w:ascii="Arial" w:hAnsi="Arial" w:cs="Arial"/>
          <w:color w:val="666666"/>
          <w:sz w:val="26"/>
          <w:szCs w:val="26"/>
        </w:rPr>
        <w:t> comme </w:t>
      </w:r>
      <w:hyperlink r:id="rId7" w:tooltip="Pierre de Ronsard" w:history="1">
        <w:r w:rsidRPr="000F22AF">
          <w:rPr>
            <w:rFonts w:ascii="Arial" w:hAnsi="Arial" w:cs="Arial"/>
            <w:color w:val="666666"/>
            <w:sz w:val="26"/>
            <w:szCs w:val="26"/>
          </w:rPr>
          <w:t>Ronsard</w:t>
        </w:r>
      </w:hyperlink>
      <w:r>
        <w:rPr>
          <w:rFonts w:ascii="Arial" w:hAnsi="Arial" w:cs="Arial"/>
          <w:color w:val="666666"/>
          <w:sz w:val="26"/>
          <w:szCs w:val="26"/>
        </w:rPr>
        <w:t> et </w:t>
      </w:r>
      <w:hyperlink r:id="rId8" w:tooltip="Joachim Du Bellay" w:history="1">
        <w:r w:rsidRPr="000F22AF">
          <w:rPr>
            <w:rFonts w:ascii="Arial" w:hAnsi="Arial" w:cs="Arial"/>
            <w:color w:val="666666"/>
            <w:sz w:val="26"/>
            <w:szCs w:val="26"/>
          </w:rPr>
          <w:t>Du Bellay</w:t>
        </w:r>
      </w:hyperlink>
      <w:r>
        <w:rPr>
          <w:rFonts w:ascii="Arial" w:hAnsi="Arial" w:cs="Arial"/>
          <w:color w:val="666666"/>
          <w:sz w:val="26"/>
          <w:szCs w:val="26"/>
        </w:rPr>
        <w:t>. En philosophie, </w:t>
      </w:r>
      <w:hyperlink r:id="rId9" w:tooltip="Michel Eyquem de Montaigne" w:history="1">
        <w:r w:rsidRPr="000F22AF">
          <w:rPr>
            <w:rFonts w:ascii="Arial" w:hAnsi="Arial" w:cs="Arial"/>
            <w:color w:val="666666"/>
            <w:sz w:val="26"/>
            <w:szCs w:val="26"/>
          </w:rPr>
          <w:t>Montaigne</w:t>
        </w:r>
      </w:hyperlink>
      <w:r>
        <w:rPr>
          <w:rFonts w:ascii="Arial" w:hAnsi="Arial" w:cs="Arial"/>
          <w:color w:val="666666"/>
          <w:sz w:val="26"/>
          <w:szCs w:val="26"/>
        </w:rPr>
        <w:t>, tout en soutenant que la raison n’est qu’une « raison déraisonnable » qui ne permet pas d’établir les lois de la nature ni de constituer une science universelle, accorda à la raison le pouvoir de libérer l’homme des idoles et des vérités « toutes faites » issues de la scolastique. Par l’autonomie de la raison, </w:t>
      </w:r>
      <w:hyperlink r:id="rId10" w:tooltip="Michel Eyquem de Montaigne" w:history="1">
        <w:r w:rsidRPr="000F22AF">
          <w:rPr>
            <w:rFonts w:ascii="Arial" w:hAnsi="Arial" w:cs="Arial"/>
            <w:color w:val="666666"/>
            <w:sz w:val="26"/>
            <w:szCs w:val="26"/>
          </w:rPr>
          <w:t>Montaigne</w:t>
        </w:r>
      </w:hyperlink>
      <w:r>
        <w:rPr>
          <w:rFonts w:ascii="Arial" w:hAnsi="Arial" w:cs="Arial"/>
          <w:color w:val="666666"/>
          <w:sz w:val="26"/>
          <w:szCs w:val="26"/>
        </w:rPr>
        <w:t> affirma également l’autonomie de l’homme.</w:t>
      </w:r>
    </w:p>
    <w:p w:rsidR="00D6106A" w:rsidRDefault="00D6106A" w:rsidP="000F22AF">
      <w:pPr>
        <w:pStyle w:val="NormalWeb"/>
        <w:shd w:val="clear" w:color="auto" w:fill="FFFFFF"/>
        <w:spacing w:before="0" w:beforeAutospacing="0" w:after="0" w:afterAutospacing="0" w:line="346" w:lineRule="atLeast"/>
        <w:ind w:firstLine="708"/>
        <w:textAlignment w:val="baseline"/>
        <w:rPr>
          <w:rFonts w:ascii="Arial" w:hAnsi="Arial" w:cs="Arial"/>
          <w:color w:val="666666"/>
          <w:sz w:val="26"/>
          <w:szCs w:val="26"/>
        </w:rPr>
      </w:pPr>
      <w:r>
        <w:rPr>
          <w:rFonts w:ascii="Arial" w:hAnsi="Arial" w:cs="Arial"/>
          <w:color w:val="666666"/>
          <w:sz w:val="26"/>
          <w:szCs w:val="26"/>
        </w:rPr>
        <w:t xml:space="preserve">Dans le reste de l’Europe, l’humanisme marqua les débuts de la Réforme; il se répandit notamment grâce au Hollandais </w:t>
      </w:r>
      <w:proofErr w:type="spellStart"/>
      <w:r>
        <w:rPr>
          <w:rFonts w:ascii="Arial" w:hAnsi="Arial" w:cs="Arial"/>
          <w:color w:val="666666"/>
          <w:sz w:val="26"/>
          <w:szCs w:val="26"/>
        </w:rPr>
        <w:t>Erasme</w:t>
      </w:r>
      <w:proofErr w:type="spellEnd"/>
      <w:r>
        <w:rPr>
          <w:rFonts w:ascii="Arial" w:hAnsi="Arial" w:cs="Arial"/>
          <w:color w:val="666666"/>
          <w:sz w:val="26"/>
          <w:szCs w:val="26"/>
        </w:rPr>
        <w:t>, qui écrivit, après avoir séjourné chez Thomas More en Angleterre, </w:t>
      </w:r>
      <w:proofErr w:type="spellStart"/>
      <w:r w:rsidRPr="000F22AF">
        <w:rPr>
          <w:rFonts w:ascii="Arial" w:hAnsi="Arial" w:cs="Arial"/>
          <w:color w:val="666666"/>
          <w:sz w:val="26"/>
          <w:szCs w:val="26"/>
          <w:u w:val="single"/>
        </w:rPr>
        <w:t>Eloge</w:t>
      </w:r>
      <w:proofErr w:type="spellEnd"/>
      <w:r w:rsidRPr="000F22AF">
        <w:rPr>
          <w:rFonts w:ascii="Arial" w:hAnsi="Arial" w:cs="Arial"/>
          <w:color w:val="666666"/>
          <w:sz w:val="26"/>
          <w:szCs w:val="26"/>
          <w:u w:val="single"/>
        </w:rPr>
        <w:t xml:space="preserve"> de la folie</w:t>
      </w:r>
      <w:r>
        <w:rPr>
          <w:rFonts w:ascii="Arial" w:hAnsi="Arial" w:cs="Arial"/>
          <w:color w:val="666666"/>
          <w:sz w:val="26"/>
          <w:szCs w:val="26"/>
        </w:rPr>
        <w:t xml:space="preserve"> (publié à Paris en 1511). Son ouvrage parvint également en Angleterre, où l’humanisme fut implanté à l’université d’Oxford par les érudits William </w:t>
      </w:r>
      <w:proofErr w:type="spellStart"/>
      <w:r>
        <w:rPr>
          <w:rFonts w:ascii="Arial" w:hAnsi="Arial" w:cs="Arial"/>
          <w:color w:val="666666"/>
          <w:sz w:val="26"/>
          <w:szCs w:val="26"/>
        </w:rPr>
        <w:t>Grocyn</w:t>
      </w:r>
      <w:proofErr w:type="spellEnd"/>
      <w:r>
        <w:rPr>
          <w:rFonts w:ascii="Arial" w:hAnsi="Arial" w:cs="Arial"/>
          <w:color w:val="666666"/>
          <w:sz w:val="26"/>
          <w:szCs w:val="26"/>
        </w:rPr>
        <w:t xml:space="preserve"> (1446-1519) et Thomas </w:t>
      </w:r>
      <w:proofErr w:type="spellStart"/>
      <w:r>
        <w:rPr>
          <w:rFonts w:ascii="Arial" w:hAnsi="Arial" w:cs="Arial"/>
          <w:color w:val="666666"/>
          <w:sz w:val="26"/>
          <w:szCs w:val="26"/>
        </w:rPr>
        <w:t>Linacre</w:t>
      </w:r>
      <w:proofErr w:type="spellEnd"/>
      <w:r>
        <w:rPr>
          <w:rFonts w:ascii="Arial" w:hAnsi="Arial" w:cs="Arial"/>
          <w:color w:val="666666"/>
          <w:sz w:val="26"/>
          <w:szCs w:val="26"/>
        </w:rPr>
        <w:t xml:space="preserve"> (v. 1460-1524), tous deux maîtres de Thomas More. L’humanisme exerça une influence décisive sur la littérature anglaise.</w:t>
      </w:r>
    </w:p>
    <w:p w:rsidR="00D6106A" w:rsidRPr="00D6106A" w:rsidRDefault="00D6106A" w:rsidP="000F22AF">
      <w:pPr>
        <w:pStyle w:val="NormalWeb"/>
        <w:shd w:val="clear" w:color="auto" w:fill="FFFFFF"/>
        <w:spacing w:before="0" w:beforeAutospacing="0" w:after="0" w:afterAutospacing="0" w:line="346" w:lineRule="atLeast"/>
        <w:ind w:firstLine="708"/>
        <w:textAlignment w:val="baseline"/>
        <w:rPr>
          <w:rFonts w:ascii="Arial" w:hAnsi="Arial" w:cs="Arial"/>
          <w:color w:val="666666"/>
          <w:sz w:val="26"/>
          <w:szCs w:val="26"/>
        </w:rPr>
      </w:pPr>
      <w:r>
        <w:rPr>
          <w:rFonts w:ascii="Arial" w:hAnsi="Arial" w:cs="Arial"/>
          <w:color w:val="666666"/>
          <w:sz w:val="26"/>
          <w:szCs w:val="26"/>
        </w:rPr>
        <w:t xml:space="preserve">Les humanistes </w:t>
      </w:r>
      <w:r w:rsidR="000F22AF" w:rsidRPr="000F22AF">
        <w:rPr>
          <w:rFonts w:ascii="Arial" w:hAnsi="Arial" w:cs="Arial"/>
          <w:color w:val="666666"/>
          <w:sz w:val="26"/>
          <w:szCs w:val="26"/>
        </w:rPr>
        <w:t>considèrent</w:t>
      </w:r>
      <w:r w:rsidRPr="00D6106A">
        <w:rPr>
          <w:rFonts w:ascii="Arial" w:hAnsi="Arial" w:cs="Arial"/>
          <w:color w:val="666666"/>
          <w:sz w:val="26"/>
          <w:szCs w:val="26"/>
        </w:rPr>
        <w:t xml:space="preserve"> que l’Homme est en possession de capacités intellectuelles potentiellement illimitées, ils considèrent la quête </w:t>
      </w:r>
      <w:r w:rsidRPr="00D6106A">
        <w:rPr>
          <w:rFonts w:ascii="Arial" w:hAnsi="Arial" w:cs="Arial"/>
          <w:color w:val="666666"/>
          <w:sz w:val="26"/>
          <w:szCs w:val="26"/>
        </w:rPr>
        <w:lastRenderedPageBreak/>
        <w:t>du</w:t>
      </w:r>
      <w:r w:rsidRPr="000F22AF">
        <w:rPr>
          <w:rFonts w:ascii="Arial" w:hAnsi="Arial" w:cs="Arial"/>
          <w:color w:val="666666"/>
          <w:sz w:val="26"/>
          <w:szCs w:val="26"/>
        </w:rPr>
        <w:t> </w:t>
      </w:r>
      <w:hyperlink r:id="rId11" w:tooltip="Savoir" w:history="1">
        <w:r w:rsidRPr="000F22AF">
          <w:rPr>
            <w:rFonts w:ascii="Arial" w:hAnsi="Arial" w:cs="Arial"/>
            <w:color w:val="666666"/>
            <w:sz w:val="26"/>
            <w:szCs w:val="26"/>
          </w:rPr>
          <w:t>savoir</w:t>
        </w:r>
      </w:hyperlink>
      <w:r w:rsidRPr="000F22AF">
        <w:rPr>
          <w:rFonts w:ascii="Arial" w:hAnsi="Arial" w:cs="Arial"/>
          <w:color w:val="666666"/>
          <w:sz w:val="26"/>
          <w:szCs w:val="26"/>
        </w:rPr>
        <w:t> </w:t>
      </w:r>
      <w:r w:rsidRPr="00D6106A">
        <w:rPr>
          <w:rFonts w:ascii="Arial" w:hAnsi="Arial" w:cs="Arial"/>
          <w:color w:val="666666"/>
          <w:sz w:val="26"/>
          <w:szCs w:val="26"/>
        </w:rPr>
        <w:t>et la maîtrise des diverses disciplines comme nécessaires au bon usage de ces facultés. Ils prônent la vulgarisation de tous les savoirs, dont religieux ; la parole divine doit être accessible à toute personne, quelles que soient ses origines ou sa langue</w:t>
      </w:r>
      <w:r w:rsidR="000F22AF" w:rsidRPr="000F22AF">
        <w:rPr>
          <w:rFonts w:ascii="Arial" w:hAnsi="Arial" w:cs="Arial"/>
          <w:color w:val="666666"/>
          <w:sz w:val="26"/>
          <w:szCs w:val="26"/>
        </w:rPr>
        <w:t>.</w:t>
      </w:r>
    </w:p>
    <w:p w:rsidR="00D6106A" w:rsidRPr="00D6106A" w:rsidRDefault="00D6106A" w:rsidP="000F22AF">
      <w:pPr>
        <w:shd w:val="clear" w:color="auto" w:fill="FFFFFF"/>
        <w:spacing w:before="96" w:after="120" w:line="359" w:lineRule="atLeast"/>
        <w:ind w:firstLine="708"/>
        <w:rPr>
          <w:rFonts w:ascii="Arial" w:eastAsia="Times New Roman" w:hAnsi="Arial" w:cs="Arial"/>
          <w:color w:val="666666"/>
          <w:sz w:val="26"/>
          <w:szCs w:val="26"/>
          <w:lang w:eastAsia="fr-CA"/>
        </w:rPr>
      </w:pPr>
      <w:r w:rsidRPr="00D6106A">
        <w:rPr>
          <w:rFonts w:ascii="Arial" w:eastAsia="Times New Roman" w:hAnsi="Arial" w:cs="Arial"/>
          <w:color w:val="666666"/>
          <w:sz w:val="26"/>
          <w:szCs w:val="26"/>
          <w:lang w:eastAsia="fr-CA"/>
        </w:rPr>
        <w:t>Ainsi, cet humanisme vise à diffuser plus clairement le patrimoine culturel. L’individu, correctement instruit, reste libre et pleinement responsable de ses actes dans la croyance de son choix. Les notions de liberté ou</w:t>
      </w:r>
      <w:r w:rsidRPr="000F22AF">
        <w:rPr>
          <w:rFonts w:ascii="Arial" w:eastAsia="Times New Roman" w:hAnsi="Arial" w:cs="Arial"/>
          <w:color w:val="666666"/>
          <w:sz w:val="26"/>
          <w:szCs w:val="26"/>
          <w:lang w:eastAsia="fr-CA"/>
        </w:rPr>
        <w:t> </w:t>
      </w:r>
      <w:hyperlink r:id="rId12" w:tooltip="Libre arbitre" w:history="1">
        <w:r w:rsidRPr="000F22AF">
          <w:rPr>
            <w:rFonts w:ascii="Arial" w:eastAsia="Times New Roman" w:hAnsi="Arial" w:cs="Arial"/>
            <w:color w:val="666666"/>
            <w:sz w:val="26"/>
            <w:szCs w:val="26"/>
            <w:lang w:eastAsia="fr-CA"/>
          </w:rPr>
          <w:t>libre arbitre</w:t>
        </w:r>
      </w:hyperlink>
      <w:r w:rsidRPr="00D6106A">
        <w:rPr>
          <w:rFonts w:ascii="Arial" w:eastAsia="Times New Roman" w:hAnsi="Arial" w:cs="Arial"/>
          <w:color w:val="666666"/>
          <w:sz w:val="26"/>
          <w:szCs w:val="26"/>
          <w:lang w:eastAsia="fr-CA"/>
        </w:rPr>
        <w:t>, de tolérance, d’indépendance, d’ouverture et de curiosité sont, de ce fait, indissociables de la théorie humaniste classique.</w:t>
      </w:r>
    </w:p>
    <w:p w:rsidR="00D6106A" w:rsidRPr="00D6106A" w:rsidRDefault="00D6106A" w:rsidP="000F22AF">
      <w:pPr>
        <w:shd w:val="clear" w:color="auto" w:fill="FFFFFF"/>
        <w:spacing w:before="96" w:after="120" w:line="359" w:lineRule="atLeast"/>
        <w:ind w:firstLine="708"/>
        <w:rPr>
          <w:rFonts w:ascii="Arial" w:eastAsia="Times New Roman" w:hAnsi="Arial" w:cs="Arial"/>
          <w:color w:val="666666"/>
          <w:sz w:val="26"/>
          <w:szCs w:val="26"/>
          <w:lang w:eastAsia="fr-CA"/>
        </w:rPr>
      </w:pPr>
      <w:r w:rsidRPr="00D6106A">
        <w:rPr>
          <w:rFonts w:ascii="Arial" w:eastAsia="Times New Roman" w:hAnsi="Arial" w:cs="Arial"/>
          <w:color w:val="666666"/>
          <w:sz w:val="26"/>
          <w:szCs w:val="26"/>
          <w:lang w:eastAsia="fr-CA"/>
        </w:rPr>
        <w:t>Par extension, on désigne par « humanisme » toute pensée qui met au premier plan de ses préoccupations le développement des qualités essentielles de l'être humain. Une vaste catégorie de</w:t>
      </w:r>
      <w:r w:rsidRPr="000F22AF">
        <w:rPr>
          <w:rFonts w:ascii="Arial" w:eastAsia="Times New Roman" w:hAnsi="Arial" w:cs="Arial"/>
          <w:color w:val="666666"/>
          <w:sz w:val="26"/>
          <w:szCs w:val="26"/>
          <w:lang w:eastAsia="fr-CA"/>
        </w:rPr>
        <w:t xml:space="preserve"> </w:t>
      </w:r>
      <w:hyperlink r:id="rId13" w:tooltip="Philosophie" w:history="1">
        <w:r w:rsidRPr="000F22AF">
          <w:rPr>
            <w:rFonts w:ascii="Arial" w:eastAsia="Times New Roman" w:hAnsi="Arial" w:cs="Arial"/>
            <w:color w:val="666666"/>
            <w:sz w:val="26"/>
            <w:szCs w:val="26"/>
            <w:lang w:eastAsia="fr-CA"/>
          </w:rPr>
          <w:t>philosophies</w:t>
        </w:r>
      </w:hyperlink>
      <w:r w:rsidRPr="000F22AF">
        <w:rPr>
          <w:rFonts w:ascii="Arial" w:eastAsia="Times New Roman" w:hAnsi="Arial" w:cs="Arial"/>
          <w:color w:val="666666"/>
          <w:sz w:val="26"/>
          <w:szCs w:val="26"/>
          <w:lang w:eastAsia="fr-CA"/>
        </w:rPr>
        <w:t> </w:t>
      </w:r>
      <w:r w:rsidRPr="00D6106A">
        <w:rPr>
          <w:rFonts w:ascii="Arial" w:eastAsia="Times New Roman" w:hAnsi="Arial" w:cs="Arial"/>
          <w:color w:val="666666"/>
          <w:sz w:val="26"/>
          <w:szCs w:val="26"/>
          <w:lang w:eastAsia="fr-CA"/>
        </w:rPr>
        <w:t>portant sur l'</w:t>
      </w:r>
      <w:hyperlink r:id="rId14" w:tooltip="Éthique" w:history="1">
        <w:r w:rsidRPr="000F22AF">
          <w:rPr>
            <w:rFonts w:ascii="Arial" w:eastAsia="Times New Roman" w:hAnsi="Arial" w:cs="Arial"/>
            <w:color w:val="666666"/>
            <w:sz w:val="26"/>
            <w:szCs w:val="26"/>
            <w:lang w:eastAsia="fr-CA"/>
          </w:rPr>
          <w:t>éthique</w:t>
        </w:r>
      </w:hyperlink>
      <w:r w:rsidRPr="000F22AF">
        <w:rPr>
          <w:rFonts w:ascii="Arial" w:eastAsia="Times New Roman" w:hAnsi="Arial" w:cs="Arial"/>
          <w:color w:val="666666"/>
          <w:sz w:val="26"/>
          <w:szCs w:val="26"/>
          <w:lang w:eastAsia="fr-CA"/>
        </w:rPr>
        <w:t> </w:t>
      </w:r>
      <w:r w:rsidRPr="00D6106A">
        <w:rPr>
          <w:rFonts w:ascii="Arial" w:eastAsia="Times New Roman" w:hAnsi="Arial" w:cs="Arial"/>
          <w:color w:val="666666"/>
          <w:sz w:val="26"/>
          <w:szCs w:val="26"/>
          <w:lang w:eastAsia="fr-CA"/>
        </w:rPr>
        <w:t>affirme la dignité et la valeur de tous les individus, fondée sur la capacité de déterminer le bien et le mal par le recours à des qualités humaines universelles, en particulier la</w:t>
      </w:r>
      <w:r w:rsidRPr="000F22AF">
        <w:rPr>
          <w:rFonts w:ascii="Arial" w:eastAsia="Times New Roman" w:hAnsi="Arial" w:cs="Arial"/>
          <w:color w:val="666666"/>
          <w:sz w:val="26"/>
          <w:szCs w:val="26"/>
          <w:lang w:eastAsia="fr-CA"/>
        </w:rPr>
        <w:t> </w:t>
      </w:r>
      <w:hyperlink r:id="rId15" w:tooltip="Rationalité" w:history="1">
        <w:r w:rsidRPr="000F22AF">
          <w:rPr>
            <w:rFonts w:ascii="Arial" w:eastAsia="Times New Roman" w:hAnsi="Arial" w:cs="Arial"/>
            <w:color w:val="666666"/>
            <w:sz w:val="26"/>
            <w:szCs w:val="26"/>
            <w:lang w:eastAsia="fr-CA"/>
          </w:rPr>
          <w:t>rationalité</w:t>
        </w:r>
      </w:hyperlink>
      <w:r w:rsidRPr="00D6106A">
        <w:rPr>
          <w:rFonts w:ascii="Arial" w:eastAsia="Times New Roman" w:hAnsi="Arial" w:cs="Arial"/>
          <w:color w:val="666666"/>
          <w:sz w:val="26"/>
          <w:szCs w:val="26"/>
          <w:lang w:eastAsia="fr-CA"/>
        </w:rPr>
        <w:t>. L'humanisme implique un engagement à la recherche de la vérité et de la moralité par l'intermédiaire des moyens humains, en particulier les</w:t>
      </w:r>
      <w:r w:rsidRPr="000F22AF">
        <w:rPr>
          <w:rFonts w:ascii="Arial" w:eastAsia="Times New Roman" w:hAnsi="Arial" w:cs="Arial"/>
          <w:color w:val="666666"/>
          <w:sz w:val="26"/>
          <w:szCs w:val="26"/>
          <w:lang w:eastAsia="fr-CA"/>
        </w:rPr>
        <w:t> </w:t>
      </w:r>
      <w:hyperlink r:id="rId16" w:tooltip="Sciences" w:history="1">
        <w:r w:rsidRPr="000F22AF">
          <w:rPr>
            <w:rFonts w:ascii="Arial" w:eastAsia="Times New Roman" w:hAnsi="Arial" w:cs="Arial"/>
            <w:color w:val="666666"/>
            <w:sz w:val="26"/>
            <w:szCs w:val="26"/>
            <w:lang w:eastAsia="fr-CA"/>
          </w:rPr>
          <w:t>sciences</w:t>
        </w:r>
      </w:hyperlink>
      <w:r w:rsidRPr="00D6106A">
        <w:rPr>
          <w:rFonts w:ascii="Arial" w:eastAsia="Times New Roman" w:hAnsi="Arial" w:cs="Arial"/>
          <w:color w:val="666666"/>
          <w:sz w:val="26"/>
          <w:szCs w:val="26"/>
          <w:lang w:eastAsia="fr-CA"/>
        </w:rPr>
        <w:t>, en solidarité avec l'</w:t>
      </w:r>
      <w:hyperlink r:id="rId17" w:tooltip="Humanité" w:history="1">
        <w:r w:rsidRPr="000F22AF">
          <w:rPr>
            <w:rFonts w:ascii="Arial" w:eastAsia="Times New Roman" w:hAnsi="Arial" w:cs="Arial"/>
            <w:color w:val="666666"/>
            <w:sz w:val="26"/>
            <w:szCs w:val="26"/>
            <w:lang w:eastAsia="fr-CA"/>
          </w:rPr>
          <w:t>humanité</w:t>
        </w:r>
      </w:hyperlink>
      <w:r w:rsidRPr="00D6106A">
        <w:rPr>
          <w:rFonts w:ascii="Arial" w:eastAsia="Times New Roman" w:hAnsi="Arial" w:cs="Arial"/>
          <w:color w:val="666666"/>
          <w:sz w:val="26"/>
          <w:szCs w:val="26"/>
          <w:lang w:eastAsia="fr-CA"/>
        </w:rPr>
        <w:t xml:space="preserve">. </w:t>
      </w:r>
    </w:p>
    <w:p w:rsidR="00D6106A" w:rsidRDefault="00D6106A"/>
    <w:sectPr w:rsidR="00D6106A" w:rsidSect="00DA478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F3B84"/>
    <w:multiLevelType w:val="multilevel"/>
    <w:tmpl w:val="D054A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C40E6F"/>
    <w:multiLevelType w:val="multilevel"/>
    <w:tmpl w:val="CBBA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6106A"/>
    <w:rsid w:val="000F22AF"/>
    <w:rsid w:val="001F533E"/>
    <w:rsid w:val="005F3F83"/>
    <w:rsid w:val="00AB7AD6"/>
    <w:rsid w:val="00CE7858"/>
    <w:rsid w:val="00D6106A"/>
    <w:rsid w:val="00DA478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82"/>
  </w:style>
  <w:style w:type="paragraph" w:styleId="Titre2">
    <w:name w:val="heading 2"/>
    <w:basedOn w:val="Normal"/>
    <w:link w:val="Titre2Car"/>
    <w:uiPriority w:val="9"/>
    <w:qFormat/>
    <w:rsid w:val="00D6106A"/>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106A"/>
    <w:rPr>
      <w:rFonts w:ascii="Times New Roman" w:eastAsia="Times New Roman" w:hAnsi="Times New Roman" w:cs="Times New Roman"/>
      <w:b/>
      <w:bCs/>
      <w:sz w:val="36"/>
      <w:szCs w:val="36"/>
      <w:lang w:eastAsia="fr-CA"/>
    </w:rPr>
  </w:style>
  <w:style w:type="paragraph" w:styleId="NormalWeb">
    <w:name w:val="Normal (Web)"/>
    <w:basedOn w:val="Normal"/>
    <w:uiPriority w:val="99"/>
    <w:unhideWhenUsed/>
    <w:rsid w:val="00D6106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D6106A"/>
  </w:style>
  <w:style w:type="character" w:styleId="Lienhypertexte">
    <w:name w:val="Hyperlink"/>
    <w:basedOn w:val="Policepardfaut"/>
    <w:uiPriority w:val="99"/>
    <w:semiHidden/>
    <w:unhideWhenUsed/>
    <w:rsid w:val="00D6106A"/>
    <w:rPr>
      <w:color w:val="0000FF"/>
      <w:u w:val="single"/>
    </w:rPr>
  </w:style>
  <w:style w:type="character" w:customStyle="1" w:styleId="romain">
    <w:name w:val="romain"/>
    <w:basedOn w:val="Policepardfaut"/>
    <w:rsid w:val="00D6106A"/>
  </w:style>
  <w:style w:type="character" w:customStyle="1" w:styleId="toctoggle">
    <w:name w:val="toctoggle"/>
    <w:basedOn w:val="Policepardfaut"/>
    <w:rsid w:val="00D6106A"/>
  </w:style>
  <w:style w:type="character" w:customStyle="1" w:styleId="tocnumber">
    <w:name w:val="tocnumber"/>
    <w:basedOn w:val="Policepardfaut"/>
    <w:rsid w:val="00D6106A"/>
  </w:style>
  <w:style w:type="character" w:customStyle="1" w:styleId="toctext">
    <w:name w:val="toctext"/>
    <w:basedOn w:val="Policepardfaut"/>
    <w:rsid w:val="00D6106A"/>
  </w:style>
  <w:style w:type="character" w:customStyle="1" w:styleId="mw-headline">
    <w:name w:val="mw-headline"/>
    <w:basedOn w:val="Policepardfaut"/>
    <w:rsid w:val="00D6106A"/>
  </w:style>
  <w:style w:type="character" w:customStyle="1" w:styleId="editsection">
    <w:name w:val="editsection"/>
    <w:basedOn w:val="Policepardfaut"/>
    <w:rsid w:val="00D6106A"/>
  </w:style>
  <w:style w:type="character" w:styleId="lev">
    <w:name w:val="Strong"/>
    <w:basedOn w:val="Policepardfaut"/>
    <w:uiPriority w:val="22"/>
    <w:qFormat/>
    <w:rsid w:val="00D6106A"/>
    <w:rPr>
      <w:b/>
      <w:bCs/>
    </w:rPr>
  </w:style>
  <w:style w:type="character" w:styleId="Accentuation">
    <w:name w:val="Emphasis"/>
    <w:basedOn w:val="Policepardfaut"/>
    <w:uiPriority w:val="20"/>
    <w:qFormat/>
    <w:rsid w:val="00D6106A"/>
    <w:rPr>
      <w:i/>
      <w:iCs/>
    </w:rPr>
  </w:style>
</w:styles>
</file>

<file path=word/webSettings.xml><?xml version="1.0" encoding="utf-8"?>
<w:webSettings xmlns:r="http://schemas.openxmlformats.org/officeDocument/2006/relationships" xmlns:w="http://schemas.openxmlformats.org/wordprocessingml/2006/main">
  <w:divs>
    <w:div w:id="763576174">
      <w:bodyDiv w:val="1"/>
      <w:marLeft w:val="0"/>
      <w:marRight w:val="0"/>
      <w:marTop w:val="0"/>
      <w:marBottom w:val="0"/>
      <w:divBdr>
        <w:top w:val="none" w:sz="0" w:space="0" w:color="auto"/>
        <w:left w:val="none" w:sz="0" w:space="0" w:color="auto"/>
        <w:bottom w:val="none" w:sz="0" w:space="0" w:color="auto"/>
        <w:right w:val="none" w:sz="0" w:space="0" w:color="auto"/>
      </w:divBdr>
    </w:div>
    <w:div w:id="213078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pacefrancais.com/joachim-du-bellay/" TargetMode="External"/><Relationship Id="rId13" Type="http://schemas.openxmlformats.org/officeDocument/2006/relationships/hyperlink" Target="http://fr.wikipedia.org/wiki/Philosophi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pacefrancais.com/pierre-de-ronsard/" TargetMode="External"/><Relationship Id="rId12" Type="http://schemas.openxmlformats.org/officeDocument/2006/relationships/hyperlink" Target="http://fr.wikipedia.org/wiki/Libre_arbitre" TargetMode="External"/><Relationship Id="rId17" Type="http://schemas.openxmlformats.org/officeDocument/2006/relationships/hyperlink" Target="http://fr.wikipedia.org/wiki/Humanit%C3%A9" TargetMode="External"/><Relationship Id="rId2" Type="http://schemas.openxmlformats.org/officeDocument/2006/relationships/styles" Target="styles.xml"/><Relationship Id="rId16" Type="http://schemas.openxmlformats.org/officeDocument/2006/relationships/hyperlink" Target="http://fr.wikipedia.org/wiki/Sciences" TargetMode="External"/><Relationship Id="rId1" Type="http://schemas.openxmlformats.org/officeDocument/2006/relationships/numbering" Target="numbering.xml"/><Relationship Id="rId6" Type="http://schemas.openxmlformats.org/officeDocument/2006/relationships/hyperlink" Target="http://www.espacefrancais.com/la-pleiade/" TargetMode="External"/><Relationship Id="rId11" Type="http://schemas.openxmlformats.org/officeDocument/2006/relationships/hyperlink" Target="http://fr.wikipedia.org/wiki/Savoir" TargetMode="External"/><Relationship Id="rId5" Type="http://schemas.openxmlformats.org/officeDocument/2006/relationships/hyperlink" Target="http://www.espacefrancais.com/histoire-de-la-france-lancien-regime/" TargetMode="External"/><Relationship Id="rId15" Type="http://schemas.openxmlformats.org/officeDocument/2006/relationships/hyperlink" Target="http://fr.wikipedia.org/wiki/Rationalit%C3%A9" TargetMode="External"/><Relationship Id="rId10" Type="http://schemas.openxmlformats.org/officeDocument/2006/relationships/hyperlink" Target="http://www.espacefrancais.com/michel-eyquem-de-montaign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spacefrancais.com/michel-eyquem-de-montaigne/" TargetMode="External"/><Relationship Id="rId14" Type="http://schemas.openxmlformats.org/officeDocument/2006/relationships/hyperlink" Target="http://fr.wikipedia.org/wiki/%C3%89th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684</Words>
  <Characters>3766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2013-04-04T16:12:00Z</dcterms:created>
  <dcterms:modified xsi:type="dcterms:W3CDTF">2013-04-05T18:32:00Z</dcterms:modified>
</cp:coreProperties>
</file>